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269" w:before="269"/>
        <w:ind w:firstLine="0" w:left="0" w:right="0"/>
        <w:jc w:val="right"/>
        <w:rPr>
          <w:rFonts w:ascii="Times New Roman" w:hAnsi="Times New Roman"/>
          <w:b w:val="0"/>
          <w:i w:val="0"/>
          <w:caps w:val="0"/>
          <w:color w:val="020B22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20B22"/>
          <w:spacing w:val="0"/>
          <w:sz w:val="28"/>
          <w:highlight w:val="white"/>
        </w:rPr>
        <w:t>Приложение № 1</w:t>
      </w:r>
    </w:p>
    <w:p w14:paraId="02000000">
      <w:pPr>
        <w:spacing w:after="269" w:before="269"/>
        <w:ind w:firstLine="0" w:left="0" w:right="0"/>
        <w:jc w:val="center"/>
        <w:rPr>
          <w:rFonts w:ascii="Times New Roman" w:hAnsi="Times New Roman"/>
          <w:b w:val="1"/>
          <w:i w:val="0"/>
          <w:caps w:val="0"/>
          <w:color w:val="020B22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20B22"/>
          <w:spacing w:val="0"/>
          <w:sz w:val="28"/>
          <w:highlight w:val="white"/>
        </w:rPr>
        <w:t>О реестре субъектов креативных (творческих) индустрий, осуществляющих деятельность в Ростовской области</w:t>
      </w:r>
    </w:p>
    <w:p w14:paraId="03000000">
      <w:pPr>
        <w:spacing w:line="240" w:lineRule="auto"/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Ростовской области начал работу официальный реестр субъектов креативных (творческих) индустрий.</w:t>
      </w:r>
    </w:p>
    <w:p w14:paraId="04000000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Целью создания Реестра является систематизация информации о хозяйствующих субъектах, осуществляющих деятельность в сфере креативных индустрий (</w:t>
      </w:r>
      <w:r>
        <w:rPr>
          <w:rFonts w:ascii="Times New Roman" w:hAnsi="Times New Roman"/>
          <w:b w:val="0"/>
          <w:i w:val="0"/>
          <w:caps w:val="0"/>
          <w:color w:val="020B22"/>
          <w:spacing w:val="0"/>
          <w:sz w:val="28"/>
          <w:highlight w:val="white"/>
        </w:rPr>
        <w:t>дизайн, архитектура, разработка программного обеспечения, народные промыслы, арт-индустрия, гастрономия, медиа, мода, кино, исполнительские искусства и другие сферы</w:t>
      </w:r>
      <w:r>
        <w:rPr>
          <w:rStyle w:val="Style_1_ch"/>
          <w:rFonts w:ascii="Times New Roman" w:hAnsi="Times New Roman"/>
          <w:sz w:val="28"/>
        </w:rPr>
        <w:t>), а также обеспечение адресной поддержки предпринимателей, работающих в творческих направлениях.</w:t>
      </w:r>
    </w:p>
    <w:p w14:paraId="05000000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Чтобы получить статус субъекта креативных индустрий</w:t>
      </w:r>
      <w:r>
        <w:rPr>
          <w:rFonts w:ascii="Times New Roman" w:hAnsi="Times New Roman"/>
          <w:sz w:val="28"/>
        </w:rPr>
        <w:t xml:space="preserve"> и стать участником реестра необходимо</w:t>
      </w:r>
      <w:r>
        <w:rPr>
          <w:rFonts w:ascii="Times New Roman" w:hAnsi="Times New Roman"/>
          <w:b w:val="1"/>
          <w:sz w:val="28"/>
        </w:rPr>
        <w:t xml:space="preserve"> выполнить несколько условий</w:t>
      </w:r>
      <w:r>
        <w:rPr>
          <w:rFonts w:ascii="Times New Roman" w:hAnsi="Times New Roman"/>
          <w:sz w:val="28"/>
        </w:rPr>
        <w:t>, среди которых:</w:t>
      </w:r>
    </w:p>
    <w:p w14:paraId="06000000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государственная регистрация на территории Ростовской области;</w:t>
      </w:r>
    </w:p>
    <w:p w14:paraId="07000000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 основного ОКВЭД из перечня видов экономической деятельности в сфере креативных инду</w:t>
      </w:r>
      <w:r>
        <w:rPr>
          <w:rFonts w:ascii="Times New Roman" w:hAnsi="Times New Roman"/>
          <w:sz w:val="28"/>
        </w:rPr>
        <w:t>стрий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(приказ </w:t>
      </w:r>
      <w:r>
        <w:rPr>
          <w:rFonts w:ascii="Times New Roman" w:hAnsi="Times New Roman"/>
          <w:sz w:val="28"/>
        </w:rPr>
        <w:t>Министерства экономического развития Российской Федерации от 23.04.2025 № 266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;</w:t>
      </w:r>
    </w:p>
    <w:p w14:paraId="08000000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отсутствие задолженности по налогам и сборам, </w:t>
      </w:r>
      <w:r>
        <w:rPr>
          <w:rFonts w:ascii="Times New Roman" w:hAnsi="Times New Roman"/>
          <w:sz w:val="28"/>
        </w:rPr>
        <w:t>а также ограничений, предусмотренных законодательством (проце</w:t>
      </w:r>
      <w:r>
        <w:rPr>
          <w:rFonts w:ascii="Times New Roman" w:hAnsi="Times New Roman"/>
          <w:sz w:val="28"/>
        </w:rPr>
        <w:t>дуры банкротства, ликвидации и др.).</w:t>
      </w:r>
    </w:p>
    <w:p w14:paraId="09000000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Предприниматели, чья деятельность соответствует установленным критериям, могут обратиться в министерство экономического развития Ростовской области или в центры «Мой бизнес» Ростовской области.</w:t>
      </w:r>
    </w:p>
    <w:p w14:paraId="0A000000">
      <w:pPr>
        <w:spacing w:line="240" w:lineRule="auto"/>
        <w:ind w:firstLine="567" w:left="142" w:right="57"/>
        <w:jc w:val="both"/>
        <w:rPr>
          <w:b w:val="1"/>
          <w:sz w:val="28"/>
        </w:rPr>
      </w:pPr>
      <w:r>
        <w:rPr>
          <w:rFonts w:ascii="Times New Roman" w:hAnsi="Times New Roman"/>
          <w:b w:val="1"/>
          <w:sz w:val="28"/>
        </w:rPr>
        <w:t>Что дает включение в региональный реестр:</w:t>
      </w:r>
    </w:p>
    <w:p w14:paraId="0B000000">
      <w:pPr>
        <w:spacing w:line="240" w:lineRule="auto"/>
        <w:ind w:firstLine="567" w:left="142" w:right="57"/>
        <w:jc w:val="both"/>
        <w:rPr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бесплатная </w:t>
      </w:r>
      <w:r>
        <w:rPr>
          <w:rFonts w:ascii="Times New Roman" w:hAnsi="Times New Roman"/>
          <w:b w:val="0"/>
          <w:sz w:val="28"/>
        </w:rPr>
        <w:t>маркетинговая поддержка</w:t>
      </w:r>
      <w:r>
        <w:rPr>
          <w:rFonts w:ascii="Times New Roman" w:hAnsi="Times New Roman"/>
          <w:b w:val="0"/>
          <w:sz w:val="28"/>
        </w:rPr>
        <w:t xml:space="preserve"> на базе цент</w:t>
      </w:r>
      <w:r>
        <w:rPr>
          <w:rFonts w:ascii="Times New Roman" w:hAnsi="Times New Roman"/>
          <w:b w:val="0"/>
          <w:sz w:val="28"/>
        </w:rPr>
        <w:t>р</w:t>
      </w:r>
      <w:r>
        <w:rPr>
          <w:rFonts w:ascii="Times New Roman" w:hAnsi="Times New Roman"/>
          <w:b w:val="0"/>
          <w:sz w:val="28"/>
        </w:rPr>
        <w:t>ов «Мой бизнес» Ростовской области;</w:t>
      </w:r>
    </w:p>
    <w:p w14:paraId="0C000000">
      <w:pPr>
        <w:spacing w:line="240" w:lineRule="auto"/>
        <w:ind w:firstLine="567" w:left="142" w:right="57"/>
        <w:jc w:val="both"/>
        <w:rPr>
          <w:b w:val="0"/>
          <w:sz w:val="28"/>
        </w:rPr>
      </w:pPr>
      <w:r>
        <w:rPr>
          <w:rFonts w:ascii="Times New Roman" w:hAnsi="Times New Roman"/>
          <w:b w:val="0"/>
          <w:sz w:val="28"/>
        </w:rPr>
        <w:t>резидентство</w:t>
      </w:r>
      <w:r>
        <w:rPr>
          <w:rFonts w:ascii="Times New Roman" w:hAnsi="Times New Roman"/>
          <w:b w:val="0"/>
          <w:sz w:val="28"/>
        </w:rPr>
        <w:t xml:space="preserve"> в Центре креативных индустрий и Клубе продюсеров креативных индустрий;</w:t>
      </w:r>
    </w:p>
    <w:p w14:paraId="0D000000">
      <w:pPr>
        <w:spacing w:line="240" w:lineRule="auto"/>
        <w:ind w:firstLine="567" w:left="142" w:right="57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льготный </w:t>
      </w:r>
      <w:r>
        <w:rPr>
          <w:rFonts w:ascii="Times New Roman" w:hAnsi="Times New Roman"/>
          <w:b w:val="0"/>
          <w:sz w:val="28"/>
        </w:rPr>
        <w:t>микрофинансовый</w:t>
      </w:r>
      <w:r>
        <w:rPr>
          <w:rFonts w:ascii="Times New Roman" w:hAnsi="Times New Roman"/>
          <w:b w:val="0"/>
          <w:sz w:val="28"/>
        </w:rPr>
        <w:t xml:space="preserve"> продукт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br/>
      </w:r>
      <w:r>
        <w:rPr>
          <w:rFonts w:ascii="Times New Roman" w:hAnsi="Times New Roman"/>
          <w:b w:val="0"/>
          <w:sz w:val="28"/>
        </w:rPr>
        <w:t xml:space="preserve">АНО МФК «Ростовского регионального агентства поддержки предпринимательства» «Креативный» от 3% до 5 </w:t>
      </w:r>
      <w:r>
        <w:rPr>
          <w:rFonts w:ascii="Times New Roman" w:hAnsi="Times New Roman"/>
          <w:b w:val="0"/>
          <w:sz w:val="28"/>
        </w:rPr>
        <w:t>млн</w:t>
      </w:r>
      <w:r>
        <w:rPr>
          <w:rFonts w:ascii="Times New Roman" w:hAnsi="Times New Roman"/>
          <w:b w:val="0"/>
          <w:sz w:val="28"/>
        </w:rPr>
        <w:t xml:space="preserve"> рублей</w:t>
      </w:r>
      <w:r>
        <w:rPr>
          <w:rFonts w:ascii="Times New Roman" w:hAnsi="Times New Roman"/>
          <w:b w:val="0"/>
          <w:sz w:val="28"/>
        </w:rPr>
        <w:t>;</w:t>
      </w:r>
    </w:p>
    <w:p w14:paraId="0E000000">
      <w:pPr>
        <w:spacing w:line="240" w:lineRule="auto"/>
        <w:ind w:firstLine="567" w:left="142" w:right="57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льготный лизинг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АО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«Региональная лизинговая компания Ростовской области» </w:t>
      </w:r>
      <w:r>
        <w:rPr>
          <w:rFonts w:ascii="Times New Roman" w:hAnsi="Times New Roman"/>
          <w:b w:val="0"/>
          <w:sz w:val="28"/>
        </w:rPr>
        <w:t>по </w:t>
      </w:r>
      <w:r>
        <w:rPr>
          <w:rFonts w:ascii="Times New Roman" w:hAnsi="Times New Roman"/>
          <w:b w:val="0"/>
          <w:sz w:val="28"/>
        </w:rPr>
        <w:t>продукт</w:t>
      </w:r>
      <w:r>
        <w:rPr>
          <w:rFonts w:ascii="Times New Roman" w:hAnsi="Times New Roman"/>
          <w:b w:val="0"/>
          <w:sz w:val="28"/>
        </w:rPr>
        <w:t>у</w:t>
      </w:r>
      <w:r>
        <w:rPr>
          <w:rFonts w:ascii="Times New Roman" w:hAnsi="Times New Roman"/>
          <w:b w:val="0"/>
          <w:sz w:val="28"/>
        </w:rPr>
        <w:t xml:space="preserve"> «Креативный» до 15 </w:t>
      </w:r>
      <w:r>
        <w:rPr>
          <w:rFonts w:ascii="Times New Roman" w:hAnsi="Times New Roman"/>
          <w:b w:val="0"/>
          <w:sz w:val="28"/>
        </w:rPr>
        <w:t>млн</w:t>
      </w:r>
      <w:r>
        <w:rPr>
          <w:rFonts w:ascii="Times New Roman" w:hAnsi="Times New Roman"/>
          <w:b w:val="0"/>
          <w:sz w:val="28"/>
        </w:rPr>
        <w:t xml:space="preserve"> рублей по</w:t>
      </w:r>
      <w:r>
        <w:rPr>
          <w:rFonts w:ascii="Times New Roman" w:hAnsi="Times New Roman"/>
          <w:b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 xml:space="preserve">ставке удорожания </w:t>
      </w:r>
      <w:r>
        <w:rPr>
          <w:rFonts w:ascii="Times New Roman" w:hAnsi="Times New Roman"/>
          <w:b w:val="0"/>
          <w:sz w:val="28"/>
        </w:rPr>
        <w:t xml:space="preserve">от </w:t>
      </w:r>
      <w:r>
        <w:rPr>
          <w:rFonts w:ascii="Times New Roman" w:hAnsi="Times New Roman"/>
          <w:b w:val="0"/>
          <w:sz w:val="28"/>
        </w:rPr>
        <w:t xml:space="preserve">3% - для имущества российского производства, </w:t>
      </w:r>
      <w:r>
        <w:rPr>
          <w:rFonts w:ascii="Times New Roman" w:hAnsi="Times New Roman"/>
          <w:b w:val="0"/>
          <w:sz w:val="28"/>
        </w:rPr>
        <w:t xml:space="preserve">от </w:t>
      </w:r>
      <w:r>
        <w:rPr>
          <w:rFonts w:ascii="Times New Roman" w:hAnsi="Times New Roman"/>
          <w:b w:val="0"/>
          <w:sz w:val="28"/>
        </w:rPr>
        <w:t>4% - для имущества иностранного производства.</w:t>
      </w:r>
    </w:p>
    <w:p w14:paraId="0F000000">
      <w:pPr>
        <w:spacing w:line="240" w:lineRule="auto"/>
        <w:ind w:firstLine="567" w:left="142" w:right="57"/>
        <w:jc w:val="both"/>
        <w:rPr>
          <w:sz w:val="28"/>
        </w:rPr>
      </w:pPr>
      <w:r>
        <w:rPr>
          <w:rFonts w:ascii="Times New Roman" w:hAnsi="Times New Roman"/>
          <w:b w:val="0"/>
          <w:sz w:val="28"/>
        </w:rPr>
        <w:t>Кроме того</w:t>
      </w:r>
      <w:r>
        <w:rPr>
          <w:rFonts w:ascii="Times New Roman" w:hAnsi="Times New Roman"/>
          <w:b w:val="0"/>
          <w:sz w:val="28"/>
        </w:rPr>
        <w:t xml:space="preserve"> на региональном уровне приняты меры налогового</w:t>
      </w:r>
      <w:r>
        <w:rPr>
          <w:rFonts w:ascii="Times New Roman" w:hAnsi="Times New Roman"/>
          <w:b w:val="0"/>
          <w:sz w:val="28"/>
        </w:rPr>
        <w:t xml:space="preserve"> стимулирования. Областным законом от</w:t>
      </w:r>
      <w:r>
        <w:rPr>
          <w:rFonts w:ascii="Times New Roman" w:hAnsi="Times New Roman"/>
          <w:b w:val="0"/>
          <w:sz w:val="28"/>
        </w:rPr>
        <w:t xml:space="preserve"> 26.02.2026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№ 417-ЗС </w:t>
      </w:r>
      <w:r>
        <w:rPr>
          <w:rFonts w:ascii="Times New Roman" w:hAnsi="Times New Roman"/>
          <w:b w:val="0"/>
          <w:sz w:val="28"/>
        </w:rPr>
        <w:t>установлены пониженные налоговые ставки по</w:t>
      </w:r>
      <w:r>
        <w:rPr>
          <w:rFonts w:ascii="Times New Roman" w:hAnsi="Times New Roman"/>
          <w:b w:val="0"/>
          <w:sz w:val="28"/>
        </w:rPr>
        <w:t xml:space="preserve"> упрощенной системе налогообложения</w:t>
      </w:r>
      <w:r>
        <w:rPr>
          <w:rFonts w:ascii="Times New Roman" w:hAnsi="Times New Roman"/>
          <w:b w:val="0"/>
          <w:sz w:val="28"/>
        </w:rPr>
        <w:t xml:space="preserve"> для креативных предпринимателей, </w:t>
      </w:r>
      <w:r>
        <w:rPr>
          <w:rFonts w:ascii="Times New Roman" w:hAnsi="Times New Roman"/>
          <w:b w:val="0"/>
          <w:sz w:val="28"/>
        </w:rPr>
        <w:t>в размере 4% и 10%</w:t>
      </w:r>
      <w:r>
        <w:rPr>
          <w:rFonts w:ascii="Times New Roman" w:hAnsi="Times New Roman"/>
          <w:b w:val="0"/>
          <w:sz w:val="28"/>
        </w:rPr>
        <w:t xml:space="preserve"> соответственно. </w:t>
      </w:r>
    </w:p>
    <w:p w14:paraId="10000000">
      <w:pPr>
        <w:spacing w:line="240" w:lineRule="auto"/>
        <w:ind w:firstLine="567" w:left="142" w:right="57"/>
        <w:jc w:val="both"/>
        <w:rPr>
          <w:sz w:val="28"/>
        </w:rPr>
      </w:pPr>
      <w:r>
        <w:rPr>
          <w:rFonts w:ascii="Times New Roman" w:hAnsi="Times New Roman"/>
          <w:b w:val="0"/>
          <w:sz w:val="28"/>
        </w:rPr>
        <w:t xml:space="preserve">Для IT компаний сохранены ранее действующие льготы </w:t>
      </w:r>
      <w:r>
        <w:rPr>
          <w:rFonts w:ascii="Times New Roman" w:hAnsi="Times New Roman"/>
          <w:b w:val="0"/>
          <w:sz w:val="28"/>
        </w:rPr>
        <w:t xml:space="preserve">(1% и 5%). </w:t>
      </w:r>
    </w:p>
    <w:p w14:paraId="11000000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Подробная информация о порядке вступления в реестр и доступных мерах поддержки размещена на официальном портале Правительства Ростовской области по ссылке </w:t>
      </w:r>
      <w:r>
        <w:rPr>
          <w:rStyle w:val="Style_2_ch"/>
          <w:rFonts w:ascii="Times New Roman" w:hAnsi="Times New Roman"/>
          <w:sz w:val="28"/>
        </w:rPr>
        <w:fldChar w:fldCharType="begin"/>
      </w:r>
      <w:r>
        <w:rPr>
          <w:rStyle w:val="Style_2_ch"/>
          <w:rFonts w:ascii="Times New Roman" w:hAnsi="Times New Roman"/>
          <w:sz w:val="28"/>
        </w:rPr>
        <w:instrText>HYPERLINK "https://www.donland.ru/activity/2999/"</w:instrText>
      </w:r>
      <w:r>
        <w:rPr>
          <w:rStyle w:val="Style_2_ch"/>
          <w:rFonts w:ascii="Times New Roman" w:hAnsi="Times New Roman"/>
          <w:sz w:val="28"/>
        </w:rPr>
        <w:fldChar w:fldCharType="separate"/>
      </w:r>
      <w:r>
        <w:rPr>
          <w:rStyle w:val="Style_2_ch"/>
          <w:rFonts w:ascii="Times New Roman" w:hAnsi="Times New Roman"/>
          <w:sz w:val="28"/>
        </w:rPr>
        <w:t>https://www.donland.ru/activity/2999/</w:t>
      </w:r>
      <w:r>
        <w:rPr>
          <w:rStyle w:val="Style_2_ch"/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.</w:t>
      </w:r>
    </w:p>
    <w:p w14:paraId="12000000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3000000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Бесплатные консультации можно получить по телефону «горячей линии» 8(804)333-32-31 через онлайн-чат на официальном сайте mbrostov.ru или посредством соцсети «ВКонтакте» https://vk.com/mb_rostov и мессенджера MAX https://max.ru/id6164109350_biz.</w:t>
      </w:r>
    </w:p>
    <w:p w14:paraId="14000000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Дополнительные разъяснения также можно получить у ответственного сотрудника министерства экономического развития Ростовской области по телефону</w:t>
      </w:r>
      <w:r>
        <w:rPr>
          <w:rStyle w:val="Style_1_ch"/>
          <w:rFonts w:ascii="Times New Roman" w:hAnsi="Times New Roman"/>
          <w:sz w:val="28"/>
        </w:rPr>
        <w:t xml:space="preserve">: </w:t>
      </w:r>
      <w:r>
        <w:rPr>
          <w:rStyle w:val="Style_1_ch"/>
          <w:rFonts w:ascii="Times New Roman" w:hAnsi="Times New Roman"/>
          <w:sz w:val="28"/>
        </w:rPr>
        <w:t>8 (863) 240-56-28.</w:t>
      </w:r>
    </w:p>
    <w:p w14:paraId="15000000">
      <w:pPr>
        <w:pStyle w:val="Style_1"/>
        <w:spacing w:line="240" w:lineRule="auto"/>
        <w:ind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1134" w:header="1134" w:left="1304" w:right="737" w:top="56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3" w:type="paragraph">
    <w:name w:val="toc 2"/>
    <w:next w:val="Style_1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2" w:type="paragraph">
    <w:name w:val="Hyperlink"/>
    <w:link w:val="Style_2_ch"/>
    <w:rPr>
      <w:color w:val="0000FF"/>
      <w:u w:val="single"/>
    </w:rPr>
  </w:style>
  <w:style w:styleId="Style_2_ch" w:type="character">
    <w:name w:val="Hyperlink"/>
    <w:link w:val="Style_2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2026-03-20T11:02:59Z</dcterms:modified>
</cp:coreProperties>
</file>